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ДОГОВОР №______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center"/>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5"/>
        <w:gridCol w:w="5671"/>
        <w:tblGridChange w:id="0">
          <w:tblGrid>
            <w:gridCol w:w="4785"/>
            <w:gridCol w:w="5671"/>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Москва</w:t>
            </w: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2020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Общество с ограниченной ответственностью «М-КОНСАЛТИНГ»</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ИНН 7727096435, ОГРН 1157746287027, именуемое в дальнейшем «Исполнитель», в лице Генерального директора Привезенцева Кирилла Александровича, действующего на основании Устава, с одной стороны </w:t>
      </w:r>
      <w:bookmarkStart w:colFirst="0" w:colLast="0" w:name="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 ________________ именуемый в дальнейшем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«Заказчик»,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другой стороны, далее вместе именуемые «СТОРОНЫ», заключили настоящий Договор о нижеследующем:</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 обязуется по поручению Заказчика за вознаграждение, в сроки и в порядке, установленные настоящим Договором оказать услуги - подготовить Отчет об оценке (далее – Отчет) в соответствии с Приложением №1 - Заданием на оценку, являющимся неотъемлемой частью Договора.</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Сроки проведения работ: ______________рабочих дней со дня подписания настоящего Договора и с момента получения Исполнителем всех исходных данных необходимых для проведения оценки.</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Договору оказываются в письменной форме в виде Отчета об оценке, в соответствии с перечнем в п. 1.1. настоящего договора, по состоянию на «__» __________2020 г., далее – «Отчет об оценке».</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Результатом оказанных услуг, указанных в п. 1.1. настоящего Договора, является отчёт об оценке. Оценка стоимости Объектов оценки производится на основании и в соответствии с действующими нормативными документами в области оценочной деятельности:</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6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Конституция РФ.</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Гражданский кодекс РФ.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закон от 29.07.1998 №135-ФЗ «Об оценочной деятельности».</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1 «Общие понятия оценки, подходы и требования к проведению оценки», утвержденный Приказом Минэкономразвития РФ от 20.05.2015 № 297;</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2 «Цель оценки и виды стоимости» утвержденный Приказом Минэкономразвития РФ от 20.05.2015 № 298;</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3 «Требования к отчету об оценке», утвержденный Приказом Минэкономразвития России от 20.05.2015 № 299;</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7 «Оценка недвижимости», утвержденный Приказом Минэкономразвития России от 25.09.2014 № 611;</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0" w:before="0" w:line="276"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ФСО № 8 «Оценка бизнеса», утвержденный Приказом Минэкономразвития России от 01.06.2015 № 326;</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 w:val="left" w:pos="1276"/>
        </w:tabs>
        <w:spacing w:after="60" w:before="0" w:line="240" w:lineRule="auto"/>
        <w:ind w:left="567" w:right="0" w:hanging="360"/>
        <w:jc w:val="both"/>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Стандарты и правила оценочной деятельности, утверждённые саморегулируемой организацией СРО «Российское общество оценщиков»</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Сведенья об оценщиках</w:t>
      </w:r>
    </w:p>
    <w:tbl>
      <w:tblPr>
        <w:tblStyle w:val="Table2"/>
        <w:tblW w:w="10348.0" w:type="dxa"/>
        <w:jc w:val="left"/>
        <w:tblInd w:w="392.0" w:type="dxa"/>
        <w:tblBorders>
          <w:top w:color="000000" w:space="0" w:sz="4" w:val="single"/>
          <w:left w:color="000000" w:space="0" w:sz="4" w:val="single"/>
          <w:bottom w:color="000000" w:space="0" w:sz="4" w:val="single"/>
          <w:right w:color="000000" w:space="0" w:sz="4" w:val="single"/>
          <w:insideH w:color="7ba0cd" w:space="0" w:sz="8" w:val="single"/>
          <w:insideV w:color="000000" w:space="0" w:sz="8" w:val="single"/>
        </w:tblBorders>
        <w:tblLayout w:type="fixed"/>
        <w:tblLook w:val="04A0"/>
      </w:tblPr>
      <w:tblGrid>
        <w:gridCol w:w="2410"/>
        <w:gridCol w:w="7938"/>
        <w:tblGridChange w:id="0">
          <w:tblGrid>
            <w:gridCol w:w="2410"/>
            <w:gridCol w:w="7938"/>
          </w:tblGrid>
        </w:tblGridChange>
      </w:tblGrid>
      <w:tr>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018">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ФИО Оценщика</w:t>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019">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Привезенцев Кирилл Александрович</w:t>
            </w:r>
          </w:p>
        </w:tc>
      </w:tr>
      <w:tr>
        <w:tc>
          <w:tcPr>
            <w:tcBorders>
              <w:right w:color="000000" w:space="0" w:sz="0" w:val="nil"/>
            </w:tcBorders>
          </w:tcPr>
          <w:p w:rsidR="00000000" w:rsidDel="00000000" w:rsidP="00000000" w:rsidRDefault="00000000" w:rsidRPr="00000000" w14:paraId="0000001A">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Информация о членстве в саморегулируемой организации оценщиков</w:t>
            </w:r>
          </w:p>
        </w:tc>
        <w:tc>
          <w:tcPr>
            <w:tcBorders>
              <w:left w:color="000000" w:space="0" w:sz="0" w:val="nil"/>
            </w:tcBorders>
          </w:tcPr>
          <w:p w:rsidR="00000000" w:rsidDel="00000000" w:rsidP="00000000" w:rsidRDefault="00000000" w:rsidRPr="00000000" w14:paraId="0000001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Наименование саморегулируемой организации оценщиков, членом которой является Оценщик, и место нахождения этой организации: МСНО НП «ОБЩЕСТВО ПРОФЕССИОНАЛЬНЫХ ЭКСПЕРТОВ И ОЦЕНЩИКОВ» (НП «ОПЭО»), зарегистрировано в Едином государственном реестре саморегулируемых организаций за № 1326.23 почтовый адрес: 125167, г. Москва, 4-я ул. 8 Марта, д. 6А, фактический адрес: г. Москва, ул. Зорге, д. 22А, бизнес центр «Сокол Бридж», 9-й этаж. Регистрационный номер в реестре членов МСНО НП «ОПЭО» № 1326.23.</w:t>
            </w:r>
          </w:p>
        </w:tc>
      </w:tr>
      <w:tr>
        <w:tc>
          <w:tcPr>
            <w:tcBorders>
              <w:right w:color="000000" w:space="0" w:sz="0" w:val="nil"/>
            </w:tcBorders>
          </w:tcPr>
          <w:p w:rsidR="00000000" w:rsidDel="00000000" w:rsidP="00000000" w:rsidRDefault="00000000" w:rsidRPr="00000000" w14:paraId="0000001C">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Номер, дата документа, подтверждающего получение профессиональных знаний в области оценочной деятельности</w:t>
            </w:r>
          </w:p>
        </w:tc>
        <w:tc>
          <w:tcPr>
            <w:tcBorders>
              <w:left w:color="000000" w:space="0" w:sz="0" w:val="nil"/>
            </w:tcBorders>
          </w:tcPr>
          <w:p w:rsidR="00000000" w:rsidDel="00000000" w:rsidP="00000000" w:rsidRDefault="00000000" w:rsidRPr="00000000" w14:paraId="000000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Документ об образовании: Диплом ВСГ 1928175 от 26.06.2008г., выдан Государственным образовательным учреждением «Сочинский государственный университет туризма и курортного де-ла»; Диплом о профессиональной переподготовке рег. номер 17-ОБ-13 от 05.07.2013г., выдано Автономной некоммерческой организации высшего профессионального образования академии «Международный Университет в Москве»; Удостоверение о повышении квалификации №772403959687 регистрационный но-мер 0478 дата выдачи 10 ноября 2016г.,выдано Негосударственным образовательным частным учреждением высшего образования Московский финансово-промышленный университет «Синергия»; </w:t>
            </w:r>
          </w:p>
        </w:tc>
      </w:tr>
      <w:tr>
        <w:tc>
          <w:tcPr>
            <w:tcBorders>
              <w:right w:color="000000" w:space="0" w:sz="0" w:val="nil"/>
            </w:tcBorders>
          </w:tcPr>
          <w:p w:rsidR="00000000" w:rsidDel="00000000" w:rsidP="00000000" w:rsidRDefault="00000000" w:rsidRPr="00000000" w14:paraId="0000001E">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Стаж работы в оценочной деятельности</w:t>
            </w:r>
          </w:p>
        </w:tc>
        <w:tc>
          <w:tcPr>
            <w:tcBorders>
              <w:left w:color="000000" w:space="0" w:sz="0" w:val="nil"/>
            </w:tcBorders>
          </w:tcPr>
          <w:p w:rsidR="00000000" w:rsidDel="00000000" w:rsidP="00000000" w:rsidRDefault="00000000" w:rsidRPr="00000000" w14:paraId="000000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Квалификационный аттестат в области оценочной деятельности по направлению «Оценка недвижимости» Серия 004772-КА1 №007774-1 от 29 марта 2018г.</w:t>
            </w:r>
          </w:p>
        </w:tc>
      </w:tr>
      <w:tr>
        <w:tc>
          <w:tcPr>
            <w:tcBorders>
              <w:right w:color="000000" w:space="0" w:sz="0" w:val="nil"/>
            </w:tcBorders>
          </w:tcPr>
          <w:p w:rsidR="00000000" w:rsidDel="00000000" w:rsidP="00000000" w:rsidRDefault="00000000" w:rsidRPr="00000000" w14:paraId="00000020">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Сведения о страховании гражданской ответственности</w:t>
            </w:r>
          </w:p>
        </w:tc>
        <w:tc>
          <w:tcPr>
            <w:tcBorders>
              <w:left w:color="000000" w:space="0" w:sz="0" w:val="nil"/>
            </w:tcBorders>
          </w:tcPr>
          <w:p w:rsidR="00000000" w:rsidDel="00000000" w:rsidP="00000000" w:rsidRDefault="00000000" w:rsidRPr="00000000" w14:paraId="0000002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9 лет</w:t>
            </w:r>
          </w:p>
        </w:tc>
      </w:tr>
      <w:tr>
        <w:tc>
          <w:tcPr>
            <w:tcBorders>
              <w:right w:color="000000" w:space="0" w:sz="0" w:val="nil"/>
            </w:tcBorders>
          </w:tcPr>
          <w:p w:rsidR="00000000" w:rsidDel="00000000" w:rsidP="00000000" w:rsidRDefault="00000000" w:rsidRPr="00000000" w14:paraId="00000022">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Сумма страхования гражданской ответственности</w:t>
            </w:r>
          </w:p>
        </w:tc>
        <w:tc>
          <w:tcPr>
            <w:tcBorders>
              <w:left w:color="000000" w:space="0" w:sz="0" w:val="nil"/>
            </w:tcBorders>
          </w:tcPr>
          <w:p w:rsidR="00000000" w:rsidDel="00000000" w:rsidP="00000000" w:rsidRDefault="00000000" w:rsidRPr="00000000" w14:paraId="0000002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Страховой полис №0991R/776/F0101/20 от 11.04.2020г., выдан АО «АльфаСтрахование», срок действия с 12.05.2020 г. по 11.05.2021 г</w:t>
            </w:r>
          </w:p>
        </w:tc>
      </w:tr>
      <w:tr>
        <w:tc>
          <w:tcPr>
            <w:tcBorders>
              <w:right w:color="000000" w:space="0" w:sz="0" w:val="nil"/>
            </w:tcBorders>
          </w:tcPr>
          <w:p w:rsidR="00000000" w:rsidDel="00000000" w:rsidP="00000000" w:rsidRDefault="00000000" w:rsidRPr="00000000" w14:paraId="00000024">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Контактная информация оценщика</w:t>
            </w:r>
          </w:p>
        </w:tc>
        <w:tc>
          <w:tcPr>
            <w:tcBorders>
              <w:left w:color="000000" w:space="0" w:sz="0" w:val="nil"/>
            </w:tcBorders>
          </w:tcPr>
          <w:p w:rsidR="00000000" w:rsidDel="00000000" w:rsidP="00000000" w:rsidRDefault="00000000" w:rsidRPr="00000000" w14:paraId="0000002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Почтовый адрес: 117209, город Москва, Нахимовский проспект, дом 23, корпус 1, оф.81</w:t>
            </w:r>
          </w:p>
          <w:p w:rsidR="00000000" w:rsidDel="00000000" w:rsidP="00000000" w:rsidRDefault="00000000" w:rsidRPr="00000000" w14:paraId="0000002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Контактный телефон: 8-916-807-88-99</w:t>
            </w:r>
          </w:p>
          <w:p w:rsidR="00000000" w:rsidDel="00000000" w:rsidP="00000000" w:rsidRDefault="00000000" w:rsidRPr="00000000" w14:paraId="0000002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Адрес электронной почты: kirill.mce@bk.ru</w:t>
            </w:r>
          </w:p>
        </w:tc>
      </w:tr>
      <w:tr>
        <w:tc>
          <w:tcPr>
            <w:tcBorders>
              <w:right w:color="000000" w:space="0" w:sz="0" w:val="nil"/>
            </w:tcBorders>
          </w:tcPr>
          <w:p w:rsidR="00000000" w:rsidDel="00000000" w:rsidP="00000000" w:rsidRDefault="00000000" w:rsidRPr="00000000" w14:paraId="00000028">
            <w:pP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Контактная информация юридического лица, с которым оценщик заключил трудовой договор</w:t>
            </w:r>
          </w:p>
        </w:tc>
        <w:tc>
          <w:tcPr>
            <w:tcBorders>
              <w:left w:color="000000" w:space="0" w:sz="0" w:val="nil"/>
            </w:tcBorders>
          </w:tcPr>
          <w:p w:rsidR="00000000" w:rsidDel="00000000" w:rsidP="00000000" w:rsidRDefault="00000000" w:rsidRPr="00000000" w14:paraId="0000002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тел.+7-(926)-456-82-46, интернет-сайт: www.mceconsult.ru, адрес электронной почты: mceconsult@bk.ru</w:t>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48"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ПРАВА И ОБЯЗАННОСТИ ИСПОЛНИТЕЛЯ</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Исполнитель имеет право:</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Самостоятельно определять методы оказания услуг.</w:t>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от Заказчика обеспечения доступа к документации, необходимой для осуществления Оценки, предусмотренного настоящим Договором.</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Получать разъяснения и дополнительные сведения, необходимые для осуществления Оценки.</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Запрашивать в письменной или устной форме у третьих лиц информацию, необходимую для оказания услуг. В случаях, если отказ в предоставлении указанной информации существенным образом влияет на достоверность результатов Исследования, Исполнитель указывает на это Заказчику.</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в установленные сроки оплаты услуг.</w:t>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Исполнитель обязуется:</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Предоставлять необходимое количество специалистов для составления Отчета и по требованию привлекать субподрядные организации.</w:t>
      </w:r>
    </w:p>
    <w:p w:rsidR="00000000" w:rsidDel="00000000" w:rsidP="00000000" w:rsidRDefault="00000000" w:rsidRPr="00000000" w14:paraId="0000003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Соблюдать при оказании услуг требования федерального законодательства, а также принятых на его основе нормативных правовых актов Российской Федерации.</w:t>
      </w:r>
    </w:p>
    <w:p w:rsidR="00000000" w:rsidDel="00000000" w:rsidP="00000000" w:rsidRDefault="00000000" w:rsidRPr="00000000" w14:paraId="0000003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разглашать конфиденциальную информацию, полученную от Заказчика в ходе оказания услуг.</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ПРАВА И ОБЯЗАННОСТИ ЗАКАЗЧИКА</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Заказчик обязуется:</w:t>
      </w:r>
    </w:p>
    <w:p w:rsidR="00000000" w:rsidDel="00000000" w:rsidP="00000000" w:rsidRDefault="00000000" w:rsidRPr="00000000" w14:paraId="0000003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Предоставить документы и необходимые исходные данные для проведения услуг, и обеспечить доступ Исполнителя ко всем объектам, в отношении которых необходимо произвести Оценку, в течение 3 (Трех) рабочих дней с даты подписания настоящего Договора.</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Подписать при получении Отчета акт оказанных услуг или мотивированный письменный отказ от его подписания.</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Осуществлять оплату услуг Исполнителя в соответствии с п.п. 4.1. – 4.3. настоящего Договора.</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Способствовать в получении Исполнителем дополнительной информации, которая ему может потребоваться в ходе оказания услуг.</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Заказчик имеет право:</w:t>
      </w:r>
    </w:p>
    <w:p w:rsidR="00000000" w:rsidDel="00000000" w:rsidP="00000000" w:rsidRDefault="00000000" w:rsidRPr="00000000" w14:paraId="0000003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Требовать от Исполнителя в установленные сроки предоставления результатов услуг.</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ОПЛАТА УСЛУГ </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Стоимость услуг по данному Договору составляет ______(_______) рублей 00 копеек, без НДС, и не зависит от выводов, сделанных Исполнителем в ходе оказания услуг, указанных в п. 1.1. настоящего Договора.</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Заказчик осуществляет оплату путем перечисления на расчетный счет в несколько этапов:</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Оплата по первому этапу осуществляется путем предоплаты на счет исполнителя суммы равной 50 (пятидесяти)%, от стоимости услуг по настоящему Договору указанной в п.п. 5.1., либо передачи в кассу Исполнителя наличным путем в течение 3 рабочих дней после подписания настоящего договора.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Оплата по второму этапу Оплата осуществляется на счет исполнителя суммы равной 50 (пятидесяти)%, от стоимости услуг по настоящему Договору указанной в п.п. 5.1., либо передачи в кассу Исполнителя наличным путем в течение 5 рабочих дней после передачи готовых отчетов об оценки заказчику и подписания актов приемки передачи услуг по оценке. </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0"/>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Прочие финансовые отношения сторон могут быть урегулированы дополнительным соглашением.</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ПОРЯДОК СДАЧИ И ПРИЕМКИ ОКАЗАННЫХ УСЛУГ</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завершении оказания услуг Заказчик забирает у Исполнителя Отчет на бумажном носителе. Если Заказчик не принимает работу, то он подписывает мотивированный отказ с перечнем необходимых доработок и иных причин непринятия Отчета (сроки выполнения доработок согласуются сторонами). </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851"/>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непоступления к Исполнителю подписанного Акта о сдаче-приемке оказанных услуг, либо мотивированного отказа Заказчика от приемки услуг и подписания Акта, по истечении одного дня со дня передачи Заказчику Отчета и Акта о сдаче-приемке оказанных услуг, услуги считаются принятыми.</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ДЕЙСТВИЕ НЕПРЕОДОЛИМОЙ СИЛЫ</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Стороны освобождаются от ответственности за полное или частичное неисполнение обязательств по Договору, если такое неисполнения явилось следствием действия обстоятельств непреодолимой силы, возникших после заключения Договора, и определяемых в соответствии с п. 3 ст. 401 Гражданского кодекса Российской Федерации.</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РАЗРЕШЕНИЕ СПОРОв</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Стороны обязуются разрешать все споры и разногласия, которые могут возникнуть из настоящего Договора, путем переговоров и консультаций.</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невозможности разрешения споров и разногласий путем переговоров, они подлежат урегулированию в арбитражном суде города Ярославля.</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ЗАКЛЮЧИТЕЛЬНЫЕ ПОЛОЖЕНИЯ</w:t>
      </w:r>
    </w:p>
    <w:p w:rsidR="00000000" w:rsidDel="00000000" w:rsidP="00000000" w:rsidRDefault="00000000" w:rsidRPr="00000000" w14:paraId="0000004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Договор вступает в законную силу с момента подписания его обеими Сторонами и действует до прекращения Сторонами обязательств по настоящему Договору.</w:t>
      </w:r>
    </w:p>
    <w:p w:rsidR="00000000" w:rsidDel="00000000" w:rsidP="00000000" w:rsidRDefault="00000000" w:rsidRPr="00000000" w14:paraId="0000005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00000" w:rsidDel="00000000" w:rsidP="00000000" w:rsidRDefault="00000000" w:rsidRPr="00000000" w14:paraId="0000005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истечении срока действия Договора, его пролонгация возможна лишь при наличии желания Сторон и положительных результатов работы Исполнителя. Пролонгация оформляется дополнительным соглашением.</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 всех вопросах, не урегулированных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97"/>
          <w:tab w:val="left" w:pos="567"/>
          <w:tab w:val="left" w:pos="709"/>
        </w:tabs>
        <w:spacing w:after="60" w:before="6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Настоящий Договор составлен в 2 (Двух) экземплярах, имеющих равную юридическую силу. Один экземпляр Договора хранится у Заказчика, другой у Исполнителя.</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8" w:right="0" w:hanging="448"/>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АДРЕСА И РЕКВИЗИТЫ СТОРОН</w:t>
      </w:r>
    </w:p>
    <w:tbl>
      <w:tblPr>
        <w:tblStyle w:val="Table3"/>
        <w:tblW w:w="10206.0" w:type="dxa"/>
        <w:jc w:val="left"/>
        <w:tblInd w:w="0.0" w:type="dxa"/>
        <w:tblLayout w:type="fixed"/>
        <w:tblLook w:val="0000"/>
      </w:tblPr>
      <w:tblGrid>
        <w:gridCol w:w="5211"/>
        <w:gridCol w:w="236"/>
        <w:gridCol w:w="4759"/>
        <w:tblGridChange w:id="0">
          <w:tblGrid>
            <w:gridCol w:w="5211"/>
            <w:gridCol w:w="236"/>
            <w:gridCol w:w="4759"/>
          </w:tblGrid>
        </w:tblGridChange>
      </w:tblGrid>
      <w:tr>
        <w:trPr>
          <w:trHeight w:val="253" w:hRule="atLeast"/>
        </w:trPr>
        <w:tc>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 ЗАКАЗЧИК:</w:t>
            </w:r>
          </w:p>
        </w:tc>
        <w:tc>
          <w:tcPr/>
          <w:p w:rsidR="00000000" w:rsidDel="00000000" w:rsidP="00000000" w:rsidRDefault="00000000" w:rsidRPr="00000000" w14:paraId="00000056">
            <w:pPr>
              <w:pStyle w:val="Heading2"/>
              <w:spacing w:after="0" w:before="0" w:lineRule="auto"/>
              <w:rPr>
                <w:rFonts w:ascii="Arial" w:cs="Arial" w:eastAsia="Arial" w:hAnsi="Arial"/>
                <w:i w:val="0"/>
                <w:sz w:val="20"/>
                <w:szCs w:val="20"/>
              </w:rPr>
            </w:pPr>
            <w:r w:rsidDel="00000000" w:rsidR="00000000" w:rsidRPr="00000000">
              <w:rPr>
                <w:rtl w:val="0"/>
              </w:rPr>
            </w:r>
          </w:p>
        </w:tc>
        <w:tc>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ИСПОЛНИТЕЛЬ:</w:t>
            </w:r>
          </w:p>
        </w:tc>
      </w:tr>
      <w:tr>
        <w:tc>
          <w:tcPr/>
          <w:p w:rsidR="00000000" w:rsidDel="00000000" w:rsidP="00000000" w:rsidRDefault="00000000" w:rsidRPr="00000000" w14:paraId="00000058">
            <w:pPr>
              <w:jc w:val="both"/>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59">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highlight w:val="yellow"/>
              </w:rPr>
            </w:pPr>
            <w:r w:rsidDel="00000000" w:rsidR="00000000" w:rsidRPr="00000000">
              <w:rPr>
                <w:rFonts w:ascii="Arial" w:cs="Arial" w:eastAsia="Arial" w:hAnsi="Arial"/>
                <w:b w:val="1"/>
                <w:rtl w:val="0"/>
              </w:rPr>
              <w:t xml:space="preserve">ООО «М-Консалтинг»              </w:t>
            </w:r>
            <w:r w:rsidDel="00000000" w:rsidR="00000000" w:rsidRPr="00000000">
              <w:rPr>
                <w:rtl w:val="0"/>
              </w:rPr>
            </w:r>
          </w:p>
          <w:p w:rsidR="00000000" w:rsidDel="00000000" w:rsidP="00000000" w:rsidRDefault="00000000" w:rsidRPr="00000000" w14:paraId="0000005B">
            <w:pP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Место нахождения</w:t>
              <w:tab/>
              <w:t xml:space="preserve">117209, город Москва, Нахимовский проспект, дом 23, корпус 1, оф.81</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Почтовый адрес</w:t>
              <w:tab/>
              <w:t xml:space="preserve">Ярославль, Которосльная набережная, д. 22/10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www.mceconsult.ru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info@mceconsult.ru</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(4852) 909-111/ 8(916)-807-88-99</w:t>
            </w:r>
          </w:p>
          <w:p w:rsidR="00000000" w:rsidDel="00000000" w:rsidP="00000000" w:rsidRDefault="00000000" w:rsidRPr="00000000" w14:paraId="0000005F">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ОГРН 1157746287027 ИНН 7727096435 КПП 772701001</w:t>
            </w:r>
          </w:p>
          <w:p w:rsidR="00000000" w:rsidDel="00000000" w:rsidP="00000000" w:rsidRDefault="00000000" w:rsidRPr="00000000" w14:paraId="00000060">
            <w:pPr>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Банковские Реквизиты в ОАО «Альфа-банк» г. Ярославль (ул. Свободы, дом 2):</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Р/С  40702810702910000985</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К/С 30101810200000000593</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БИК 044525593                                                         </w:t>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tc>
      </w:tr>
      <w:tr>
        <w:trPr>
          <w:trHeight w:val="524"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widowControl w:val="0"/>
              <w:rPr>
                <w:rFonts w:ascii="Arial" w:cs="Arial" w:eastAsia="Arial" w:hAnsi="Arial"/>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 К.А. Привезенцев</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tbl>
      <w:tblPr>
        <w:tblStyle w:val="Table4"/>
        <w:tblW w:w="4252.0" w:type="dxa"/>
        <w:jc w:val="left"/>
        <w:tblInd w:w="620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2"/>
        <w:tblGridChange w:id="0">
          <w:tblGrid>
            <w:gridCol w:w="4252"/>
          </w:tblGrid>
        </w:tblGridChange>
      </w:tblGrid>
      <w:tr>
        <w:tc>
          <w:tcPr/>
          <w:p w:rsidR="00000000" w:rsidDel="00000000" w:rsidP="00000000" w:rsidRDefault="00000000" w:rsidRPr="00000000" w14:paraId="0000006E">
            <w:pPr>
              <w:ind w:right="0"/>
              <w:jc w:val="right"/>
              <w:rPr>
                <w:rFonts w:ascii="Arial" w:cs="Arial" w:eastAsia="Arial" w:hAnsi="Arial"/>
                <w:b w:val="1"/>
              </w:rPr>
            </w:pPr>
            <w:r w:rsidDel="00000000" w:rsidR="00000000" w:rsidRPr="00000000">
              <w:rPr>
                <w:rFonts w:ascii="Arial" w:cs="Arial" w:eastAsia="Arial" w:hAnsi="Arial"/>
                <w:b w:val="1"/>
                <w:rtl w:val="0"/>
              </w:rPr>
              <w:t xml:space="preserve">ПРИЛОЖЕНИЕ№1</w:t>
            </w:r>
          </w:p>
          <w:p w:rsidR="00000000" w:rsidDel="00000000" w:rsidP="00000000" w:rsidRDefault="00000000" w:rsidRPr="00000000" w14:paraId="0000006F">
            <w:pPr>
              <w:ind w:right="0"/>
              <w:jc w:val="right"/>
              <w:rPr>
                <w:rFonts w:ascii="Arial" w:cs="Arial" w:eastAsia="Arial" w:hAnsi="Arial"/>
              </w:rPr>
            </w:pPr>
            <w:r w:rsidDel="00000000" w:rsidR="00000000" w:rsidRPr="00000000">
              <w:rPr>
                <w:rFonts w:ascii="Arial" w:cs="Arial" w:eastAsia="Arial" w:hAnsi="Arial"/>
                <w:rtl w:val="0"/>
              </w:rPr>
              <w:t xml:space="preserve">к ____________</w:t>
            </w:r>
          </w:p>
          <w:p w:rsidR="00000000" w:rsidDel="00000000" w:rsidP="00000000" w:rsidRDefault="00000000" w:rsidRPr="00000000" w14:paraId="00000070">
            <w:pPr>
              <w:ind w:right="0"/>
              <w:jc w:val="right"/>
              <w:rPr>
                <w:rFonts w:ascii="Arial" w:cs="Arial" w:eastAsia="Arial" w:hAnsi="Arial"/>
              </w:rPr>
            </w:pPr>
            <w:r w:rsidDel="00000000" w:rsidR="00000000" w:rsidRPr="00000000">
              <w:rPr>
                <w:rFonts w:ascii="Arial" w:cs="Arial" w:eastAsia="Arial" w:hAnsi="Arial"/>
                <w:rtl w:val="0"/>
              </w:rPr>
              <w:t xml:space="preserve">от «____» ___________2020 г.</w:t>
            </w:r>
          </w:p>
          <w:p w:rsidR="00000000" w:rsidDel="00000000" w:rsidP="00000000" w:rsidRDefault="00000000" w:rsidRPr="00000000" w14:paraId="00000071">
            <w:pPr>
              <w:ind w:right="0"/>
              <w:jc w:val="right"/>
              <w:rPr>
                <w:rFonts w:ascii="Arial" w:cs="Arial" w:eastAsia="Arial" w:hAnsi="Arial"/>
                <w:b w:val="1"/>
              </w:rPr>
            </w:pPr>
            <w:r w:rsidDel="00000000" w:rsidR="00000000" w:rsidRPr="00000000">
              <w:rPr>
                <w:rtl w:val="0"/>
              </w:rPr>
            </w:r>
          </w:p>
        </w:tc>
      </w:tr>
    </w:tbl>
    <w:p w:rsidR="00000000" w:rsidDel="00000000" w:rsidP="00000000" w:rsidRDefault="00000000" w:rsidRPr="00000000" w14:paraId="00000072">
      <w:pPr>
        <w:spacing w:before="240" w:line="240" w:lineRule="auto"/>
        <w:jc w:val="center"/>
        <w:rPr>
          <w:rFonts w:ascii="Arial" w:cs="Arial" w:eastAsia="Arial" w:hAnsi="Arial"/>
          <w:b w:val="1"/>
        </w:rPr>
      </w:pPr>
      <w:r w:rsidDel="00000000" w:rsidR="00000000" w:rsidRPr="00000000">
        <w:rPr>
          <w:rFonts w:ascii="Arial" w:cs="Arial" w:eastAsia="Arial" w:hAnsi="Arial"/>
          <w:b w:val="1"/>
          <w:rtl w:val="0"/>
        </w:rPr>
        <w:t xml:space="preserve">ЗАДАНИЕ</w:t>
      </w:r>
    </w:p>
    <w:p w:rsidR="00000000" w:rsidDel="00000000" w:rsidP="00000000" w:rsidRDefault="00000000" w:rsidRPr="00000000" w14:paraId="00000073">
      <w:pPr>
        <w:widowControl w:val="0"/>
        <w:spacing w:after="240" w:lineRule="auto"/>
        <w:ind w:left="448" w:firstLine="0"/>
        <w:jc w:val="center"/>
        <w:rPr>
          <w:rFonts w:ascii="Arial" w:cs="Arial" w:eastAsia="Arial" w:hAnsi="Arial"/>
        </w:rPr>
      </w:pPr>
      <w:r w:rsidDel="00000000" w:rsidR="00000000" w:rsidRPr="00000000">
        <w:rPr>
          <w:rFonts w:ascii="Arial" w:cs="Arial" w:eastAsia="Arial" w:hAnsi="Arial"/>
          <w:rtl w:val="0"/>
        </w:rPr>
        <w:t xml:space="preserve">на выполнение работ по подготовке Отчета об оценке </w:t>
      </w:r>
    </w:p>
    <w:tbl>
      <w:tblPr>
        <w:tblStyle w:val="Table5"/>
        <w:tblW w:w="10206.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57"/>
        <w:gridCol w:w="5349"/>
        <w:tblGridChange w:id="0">
          <w:tblGrid>
            <w:gridCol w:w="4857"/>
            <w:gridCol w:w="5349"/>
          </w:tblGrid>
        </w:tblGridChange>
      </w:tblGrid>
      <w:tr>
        <w:trPr>
          <w:trHeight w:val="260" w:hRule="atLeast"/>
        </w:trPr>
        <w:tc>
          <w:tcPr/>
          <w:p w:rsidR="00000000" w:rsidDel="00000000" w:rsidP="00000000" w:rsidRDefault="00000000" w:rsidRPr="00000000" w14:paraId="00000074">
            <w:pPr>
              <w:widowControl w:val="0"/>
              <w:spacing w:after="120" w:lineRule="auto"/>
              <w:rPr>
                <w:rFonts w:ascii="Arial" w:cs="Arial" w:eastAsia="Arial" w:hAnsi="Arial"/>
              </w:rPr>
            </w:pPr>
            <w:r w:rsidDel="00000000" w:rsidR="00000000" w:rsidRPr="00000000">
              <w:rPr>
                <w:rFonts w:ascii="Arial" w:cs="Arial" w:eastAsia="Arial" w:hAnsi="Arial"/>
                <w:rtl w:val="0"/>
              </w:rPr>
              <w:t xml:space="preserve">г. Москва</w:t>
            </w:r>
          </w:p>
        </w:tc>
        <w:tc>
          <w:tcPr/>
          <w:p w:rsidR="00000000" w:rsidDel="00000000" w:rsidP="00000000" w:rsidRDefault="00000000" w:rsidRPr="00000000" w14:paraId="00000075">
            <w:pPr>
              <w:widowControl w:val="0"/>
              <w:spacing w:after="120" w:lineRule="auto"/>
              <w:jc w:val="right"/>
              <w:rPr>
                <w:rFonts w:ascii="Arial" w:cs="Arial" w:eastAsia="Arial" w:hAnsi="Arial"/>
                <w:highlight w:val="yellow"/>
              </w:rPr>
            </w:pPr>
            <w:bookmarkStart w:colFirst="0" w:colLast="0" w:name="_tyjcwt" w:id="5"/>
            <w:bookmarkEnd w:id="5"/>
            <w:r w:rsidDel="00000000" w:rsidR="00000000" w:rsidRPr="00000000">
              <w:rPr>
                <w:rFonts w:ascii="Arial" w:cs="Arial" w:eastAsia="Arial" w:hAnsi="Arial"/>
                <w:rtl w:val="0"/>
              </w:rPr>
              <w:t xml:space="preserve">«________» __________ 2020 г.</w:t>
            </w:r>
            <w:r w:rsidDel="00000000" w:rsidR="00000000" w:rsidRPr="00000000">
              <w:rPr>
                <w:rtl w:val="0"/>
              </w:rPr>
            </w:r>
          </w:p>
        </w:tc>
      </w:tr>
    </w:tb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yellow"/>
        </w:rPr>
      </w:pPr>
      <w:r w:rsidDel="00000000" w:rsidR="00000000" w:rsidRPr="00000000">
        <w:rPr>
          <w:rtl w:val="0"/>
        </w:rPr>
      </w:r>
    </w:p>
    <w:tbl>
      <w:tblPr>
        <w:tblStyle w:val="Table6"/>
        <w:tblW w:w="10847.0" w:type="dxa"/>
        <w:jc w:val="center"/>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5"/>
        <w:gridCol w:w="7762"/>
        <w:tblGridChange w:id="0">
          <w:tblGrid>
            <w:gridCol w:w="3085"/>
            <w:gridCol w:w="7762"/>
          </w:tblGrid>
        </w:tblGridChange>
      </w:tblGrid>
      <w:tr>
        <w:tc>
          <w:tcPr>
            <w:shd w:fill="244061" w:val="clear"/>
            <w:vAlign w:val="center"/>
          </w:tcPr>
          <w:p w:rsidR="00000000" w:rsidDel="00000000" w:rsidP="00000000" w:rsidRDefault="00000000" w:rsidRPr="00000000" w14:paraId="00000077">
            <w:pPr>
              <w:spacing w:after="20" w:before="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Наименование</w:t>
            </w:r>
          </w:p>
        </w:tc>
        <w:tc>
          <w:tcPr>
            <w:shd w:fill="244061" w:val="clear"/>
            <w:vAlign w:val="center"/>
          </w:tcPr>
          <w:p w:rsidR="00000000" w:rsidDel="00000000" w:rsidP="00000000" w:rsidRDefault="00000000" w:rsidRPr="00000000" w14:paraId="00000078">
            <w:pPr>
              <w:spacing w:after="20" w:before="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Значение</w:t>
            </w:r>
          </w:p>
        </w:tc>
      </w:tr>
      <w:tr>
        <w:tc>
          <w:tcPr>
            <w:shd w:fill="auto" w:val="clear"/>
            <w:vAlign w:val="center"/>
          </w:tcPr>
          <w:p w:rsidR="00000000" w:rsidDel="00000000" w:rsidP="00000000" w:rsidRDefault="00000000" w:rsidRPr="00000000" w14:paraId="00000079">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Основание для проведения оценки</w:t>
            </w:r>
          </w:p>
        </w:tc>
        <w:tc>
          <w:tcPr>
            <w:shd w:fill="auto" w:val="clear"/>
            <w:vAlign w:val="center"/>
          </w:tcPr>
          <w:p w:rsidR="00000000" w:rsidDel="00000000" w:rsidP="00000000" w:rsidRDefault="00000000" w:rsidRPr="00000000" w14:paraId="0000007A">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7B">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Объект оценки</w:t>
            </w:r>
          </w:p>
        </w:tc>
        <w:tc>
          <w:tcPr>
            <w:shd w:fill="dbe5f1" w:val="clear"/>
            <w:vAlign w:val="center"/>
          </w:tcPr>
          <w:p w:rsidR="00000000" w:rsidDel="00000000" w:rsidP="00000000" w:rsidRDefault="00000000" w:rsidRPr="00000000" w14:paraId="0000007C">
            <w:pPr>
              <w:spacing w:after="20" w:before="20" w:lineRule="auto"/>
              <w:jc w:val="both"/>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7D">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Балансовая (остаточная) стоимость на дату оценки, руб.</w:t>
            </w:r>
          </w:p>
        </w:tc>
        <w:tc>
          <w:tcPr>
            <w:shd w:fill="auto" w:val="clear"/>
            <w:vAlign w:val="center"/>
          </w:tcPr>
          <w:p w:rsidR="00000000" w:rsidDel="00000000" w:rsidP="00000000" w:rsidRDefault="00000000" w:rsidRPr="00000000" w14:paraId="0000007E">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7F">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Имущественные права на объект оценки </w:t>
            </w:r>
          </w:p>
        </w:tc>
        <w:tc>
          <w:tcPr>
            <w:shd w:fill="auto" w:val="clear"/>
            <w:vAlign w:val="center"/>
          </w:tcPr>
          <w:p w:rsidR="00000000" w:rsidDel="00000000" w:rsidP="00000000" w:rsidRDefault="00000000" w:rsidRPr="00000000" w14:paraId="00000080">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1">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Оцениваемые имущественные права на объект оценки</w:t>
            </w:r>
          </w:p>
        </w:tc>
        <w:tc>
          <w:tcPr>
            <w:shd w:fill="dbe5f1" w:val="clear"/>
            <w:vAlign w:val="center"/>
          </w:tcPr>
          <w:p w:rsidR="00000000" w:rsidDel="00000000" w:rsidP="00000000" w:rsidRDefault="00000000" w:rsidRPr="00000000" w14:paraId="00000082">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3">
            <w:pPr>
              <w:spacing w:after="20" w:before="20" w:lineRule="auto"/>
              <w:jc w:val="center"/>
              <w:rPr>
                <w:rFonts w:ascii="Arial" w:cs="Arial" w:eastAsia="Arial" w:hAnsi="Arial"/>
              </w:rPr>
            </w:pPr>
            <w:r w:rsidDel="00000000" w:rsidR="00000000" w:rsidRPr="00000000">
              <w:rPr>
                <w:rFonts w:ascii="Arial" w:cs="Arial" w:eastAsia="Arial" w:hAnsi="Arial"/>
                <w:color w:val="000000"/>
                <w:rtl w:val="0"/>
              </w:rPr>
              <w:t xml:space="preserve">Субъект права на объект оценки</w:t>
            </w:r>
            <w:r w:rsidDel="00000000" w:rsidR="00000000" w:rsidRPr="00000000">
              <w:rPr>
                <w:rtl w:val="0"/>
              </w:rPr>
            </w:r>
          </w:p>
        </w:tc>
        <w:tc>
          <w:tcPr>
            <w:shd w:fill="auto" w:val="clear"/>
            <w:vAlign w:val="center"/>
          </w:tcPr>
          <w:p w:rsidR="00000000" w:rsidDel="00000000" w:rsidP="00000000" w:rsidRDefault="00000000" w:rsidRPr="00000000" w14:paraId="00000084">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5">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Данные собственника объекта оценки</w:t>
            </w:r>
          </w:p>
        </w:tc>
        <w:tc>
          <w:tcPr>
            <w:shd w:fill="dbe5f1" w:val="clear"/>
            <w:vAlign w:val="center"/>
          </w:tcPr>
          <w:p w:rsidR="00000000" w:rsidDel="00000000" w:rsidP="00000000" w:rsidRDefault="00000000" w:rsidRPr="00000000" w14:paraId="00000086">
            <w:pPr>
              <w:spacing w:after="20" w:before="20" w:lineRule="auto"/>
              <w:rPr>
                <w:rFonts w:ascii="Arial" w:cs="Arial" w:eastAsia="Arial" w:hAnsi="Arial"/>
              </w:rPr>
            </w:pPr>
            <w:r w:rsidDel="00000000" w:rsidR="00000000" w:rsidRPr="00000000">
              <w:rPr>
                <w:rtl w:val="0"/>
              </w:rPr>
            </w:r>
          </w:p>
        </w:tc>
      </w:tr>
      <w:tr>
        <w:tc>
          <w:tcPr>
            <w:shd w:fill="auto" w:val="clear"/>
            <w:vAlign w:val="center"/>
          </w:tcPr>
          <w:p w:rsidR="00000000" w:rsidDel="00000000" w:rsidP="00000000" w:rsidRDefault="00000000" w:rsidRPr="00000000" w14:paraId="00000087">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Заказчик оценки</w:t>
            </w:r>
          </w:p>
        </w:tc>
        <w:tc>
          <w:tcPr>
            <w:shd w:fill="auto" w:val="clear"/>
            <w:vAlign w:val="center"/>
          </w:tcPr>
          <w:p w:rsidR="00000000" w:rsidDel="00000000" w:rsidP="00000000" w:rsidRDefault="00000000" w:rsidRPr="00000000" w14:paraId="00000088">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9">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Цель оценки</w:t>
            </w:r>
          </w:p>
        </w:tc>
        <w:tc>
          <w:tcPr>
            <w:shd w:fill="dbe5f1" w:val="clear"/>
            <w:vAlign w:val="center"/>
          </w:tcPr>
          <w:p w:rsidR="00000000" w:rsidDel="00000000" w:rsidP="00000000" w:rsidRDefault="00000000" w:rsidRPr="00000000" w14:paraId="0000008A">
            <w:pPr>
              <w:spacing w:after="20" w:before="20" w:lineRule="auto"/>
              <w:rPr>
                <w:rFonts w:ascii="Arial" w:cs="Arial" w:eastAsia="Arial" w:hAnsi="Arial"/>
              </w:rPr>
            </w:pPr>
            <w:r w:rsidDel="00000000" w:rsidR="00000000" w:rsidRPr="00000000">
              <w:rPr>
                <w:rtl w:val="0"/>
              </w:rPr>
            </w:r>
          </w:p>
        </w:tc>
      </w:tr>
      <w:tr>
        <w:trPr>
          <w:trHeight w:val="503" w:hRule="atLeast"/>
        </w:trPr>
        <w:tc>
          <w:tcPr>
            <w:shd w:fill="auto" w:val="clear"/>
            <w:vAlign w:val="center"/>
          </w:tcPr>
          <w:p w:rsidR="00000000" w:rsidDel="00000000" w:rsidP="00000000" w:rsidRDefault="00000000" w:rsidRPr="00000000" w14:paraId="0000008B">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Предполагаемое использование результата оценки</w:t>
            </w:r>
          </w:p>
        </w:tc>
        <w:tc>
          <w:tcPr>
            <w:shd w:fill="auto" w:val="clear"/>
            <w:vAlign w:val="center"/>
          </w:tcPr>
          <w:p w:rsidR="00000000" w:rsidDel="00000000" w:rsidP="00000000" w:rsidRDefault="00000000" w:rsidRPr="00000000" w14:paraId="0000008C">
            <w:pPr>
              <w:spacing w:after="20" w:before="20" w:lineRule="auto"/>
              <w:rPr>
                <w:rFonts w:ascii="Arial" w:cs="Arial" w:eastAsia="Arial" w:hAnsi="Arial"/>
              </w:rPr>
            </w:pPr>
            <w:r w:rsidDel="00000000" w:rsidR="00000000" w:rsidRPr="00000000">
              <w:rPr>
                <w:rtl w:val="0"/>
              </w:rPr>
            </w:r>
          </w:p>
        </w:tc>
      </w:tr>
      <w:tr>
        <w:tc>
          <w:tcPr>
            <w:shd w:fill="dbe5f1" w:val="clear"/>
            <w:vAlign w:val="center"/>
          </w:tcPr>
          <w:p w:rsidR="00000000" w:rsidDel="00000000" w:rsidP="00000000" w:rsidRDefault="00000000" w:rsidRPr="00000000" w14:paraId="0000008D">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Вид определяемой стоимости</w:t>
            </w:r>
          </w:p>
        </w:tc>
        <w:tc>
          <w:tcPr>
            <w:shd w:fill="dbe5f1" w:val="clear"/>
            <w:vAlign w:val="center"/>
          </w:tcPr>
          <w:p w:rsidR="00000000" w:rsidDel="00000000" w:rsidP="00000000" w:rsidRDefault="00000000" w:rsidRPr="00000000" w14:paraId="0000008E">
            <w:pPr>
              <w:spacing w:after="20" w:before="20" w:lineRule="auto"/>
              <w:rPr>
                <w:rFonts w:ascii="Arial" w:cs="Arial" w:eastAsia="Arial" w:hAnsi="Arial"/>
              </w:rPr>
            </w:pPr>
            <w:r w:rsidDel="00000000" w:rsidR="00000000" w:rsidRPr="00000000">
              <w:rPr>
                <w:rFonts w:ascii="Arial" w:cs="Arial" w:eastAsia="Arial" w:hAnsi="Arial"/>
                <w:rtl w:val="0"/>
              </w:rPr>
              <w:t xml:space="preserve">Рыночная</w:t>
            </w:r>
          </w:p>
        </w:tc>
      </w:tr>
      <w:tr>
        <w:tc>
          <w:tcPr>
            <w:shd w:fill="auto" w:val="clear"/>
            <w:vAlign w:val="center"/>
          </w:tcPr>
          <w:p w:rsidR="00000000" w:rsidDel="00000000" w:rsidP="00000000" w:rsidRDefault="00000000" w:rsidRPr="00000000" w14:paraId="0000008F">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Допущения и ограничительные условия, использованные оценщиком при проведении оценки</w:t>
            </w:r>
          </w:p>
        </w:tc>
        <w:tc>
          <w:tcPr>
            <w:shd w:fill="auto" w:val="clear"/>
            <w:vAlign w:val="center"/>
          </w:tcPr>
          <w:p w:rsidR="00000000" w:rsidDel="00000000" w:rsidP="00000000" w:rsidRDefault="00000000" w:rsidRPr="00000000" w14:paraId="00000090">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Отчет об оценке объекта оценки достоверен исключительно в полном объеме, отдельные части отчета не могут являться самостоятельными документами.</w:t>
            </w:r>
          </w:p>
          <w:p w:rsidR="00000000" w:rsidDel="00000000" w:rsidP="00000000" w:rsidRDefault="00000000" w:rsidRPr="00000000" w14:paraId="00000091">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Мнение Оценщика относительно рыночной (или иной, т.е. отличной от рыночной – в соответствии с целями оценки) стоимости объекта действительно только на дату оценки, указанную в отчете об оценке объекта оценки, и лишь для целей и функций, указанных в отчете об оценке объекта оценки. Оценщик не принимает на себя никакой ответственности за изменение политических, экономических, юридических и иных факторов, которые могут возникнуть после этой даты и повлиять на рыночную ситуацию, и, как следствие, на рыночную (или иную) стоимость объекта. </w:t>
            </w:r>
          </w:p>
          <w:p w:rsidR="00000000" w:rsidDel="00000000" w:rsidP="00000000" w:rsidRDefault="00000000" w:rsidRPr="00000000" w14:paraId="00000092">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Отчет об оценке объекта оценки содержит профессиональное мнение Оценщика относительно рыночной (или иной) стоимости и не является гарантией того, что объект будут продан на свободном рынке по цене, равной стоимости объекта, которая указана в отчете об оценке объекта оценки.</w:t>
            </w:r>
          </w:p>
          <w:p w:rsidR="00000000" w:rsidDel="00000000" w:rsidP="00000000" w:rsidRDefault="00000000" w:rsidRPr="00000000" w14:paraId="00000093">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Заказчик гарантирует, что любая информация, суждения, аналитические разработки Оценщика и другие материалы отчета об оценке объекта оценки будут использованы им исключительно в соответствии с целями и функциями, указанными в отчете об оценке объекта оценки. </w:t>
            </w:r>
          </w:p>
          <w:p w:rsidR="00000000" w:rsidDel="00000000" w:rsidP="00000000" w:rsidRDefault="00000000" w:rsidRPr="00000000" w14:paraId="00000094">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При проведении анализа и расчетов Оценщик использует исходную информацию об объекте оценки, переданную Заказчиком. Оценщик не принимает на себя ответственность за достоверность переданной ему Заказчиком исходной информации. </w:t>
            </w:r>
          </w:p>
          <w:p w:rsidR="00000000" w:rsidDel="00000000" w:rsidP="00000000" w:rsidRDefault="00000000" w:rsidRPr="00000000" w14:paraId="00000095">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Информация, показатели, характеристики и т.д., использованные Оценщиком и содержащиеся в отчете об оценке объекта оценки, берутся Оценщиком из источников, которые, по мнению Оценщика, являются достоверными. Тем не менее, Оценщик не предоставляет гарантии или иные формы подтверждения их полной достоверности. Все использованные Оценщиком в отчете об оценке объекта оценки данные, снабженные ссылками на источники информации, не могут рассматриваться как его собственные утверждения. </w:t>
            </w:r>
          </w:p>
          <w:p w:rsidR="00000000" w:rsidDel="00000000" w:rsidP="00000000" w:rsidRDefault="00000000" w:rsidRPr="00000000" w14:paraId="00000096">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Оценщик не несет ответственности за юридическое описание прав на объект оценки или за вопросы, связанные с рассмотрением данных прав.  </w:t>
            </w:r>
          </w:p>
          <w:p w:rsidR="00000000" w:rsidDel="00000000" w:rsidP="00000000" w:rsidRDefault="00000000" w:rsidRPr="00000000" w14:paraId="00000097">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От оценщика не требуется давать показания или появляться в суде или других уполномоченных органах, вследствие проведения оценки объекта оценки, иначе как по официальному вызову суда или других уполномоченных органов.</w:t>
            </w:r>
          </w:p>
          <w:p w:rsidR="00000000" w:rsidDel="00000000" w:rsidP="00000000" w:rsidRDefault="00000000" w:rsidRPr="00000000" w14:paraId="00000098">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Оценщик предполагает отсутствие каких-либо скрытых (то есть таких, которые невозможно обнаружить при визуальном освидетельствовании объекта) фактов, влияющих на оценку. Оценщик не несет ответственности ни за наличие таких скрытых фактов, ни за необходимость выявления таковых.</w:t>
            </w:r>
          </w:p>
          <w:p w:rsidR="00000000" w:rsidDel="00000000" w:rsidP="00000000" w:rsidRDefault="00000000" w:rsidRPr="00000000" w14:paraId="00000099">
            <w:pPr>
              <w:numPr>
                <w:ilvl w:val="0"/>
                <w:numId w:val="1"/>
              </w:numPr>
              <w:spacing w:after="20" w:before="20" w:lineRule="auto"/>
              <w:ind w:left="317" w:hanging="284"/>
              <w:jc w:val="both"/>
              <w:rPr>
                <w:rFonts w:ascii="Arial" w:cs="Arial" w:eastAsia="Arial" w:hAnsi="Arial"/>
              </w:rPr>
            </w:pPr>
            <w:r w:rsidDel="00000000" w:rsidR="00000000" w:rsidRPr="00000000">
              <w:rPr>
                <w:rFonts w:ascii="Arial" w:cs="Arial" w:eastAsia="Arial" w:hAnsi="Arial"/>
                <w:rtl w:val="0"/>
              </w:rPr>
              <w:t xml:space="preserve">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
        </w:tc>
      </w:tr>
      <w:tr>
        <w:tc>
          <w:tcPr>
            <w:shd w:fill="dbe5f1" w:val="clear"/>
            <w:vAlign w:val="center"/>
          </w:tcPr>
          <w:p w:rsidR="00000000" w:rsidDel="00000000" w:rsidP="00000000" w:rsidRDefault="00000000" w:rsidRPr="00000000" w14:paraId="0000009A">
            <w:pPr>
              <w:spacing w:after="20" w:before="20" w:lineRule="auto"/>
              <w:jc w:val="center"/>
              <w:rPr>
                <w:rFonts w:ascii="Arial" w:cs="Arial" w:eastAsia="Arial" w:hAnsi="Arial"/>
              </w:rPr>
            </w:pPr>
            <w:r w:rsidDel="00000000" w:rsidR="00000000" w:rsidRPr="00000000">
              <w:rPr>
                <w:rFonts w:ascii="Arial" w:cs="Arial" w:eastAsia="Arial" w:hAnsi="Arial"/>
                <w:rtl w:val="0"/>
              </w:rPr>
              <w:t xml:space="preserve">Дата оценки</w:t>
            </w:r>
          </w:p>
        </w:tc>
        <w:tc>
          <w:tcPr>
            <w:shd w:fill="dbe5f1" w:val="clear"/>
            <w:vAlign w:val="center"/>
          </w:tcPr>
          <w:p w:rsidR="00000000" w:rsidDel="00000000" w:rsidP="00000000" w:rsidRDefault="00000000" w:rsidRPr="00000000" w14:paraId="0000009B">
            <w:pPr>
              <w:spacing w:after="20" w:before="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C">
      <w:pPr>
        <w:rPr>
          <w:rFonts w:ascii="Arial" w:cs="Arial" w:eastAsia="Arial" w:hAnsi="Arial"/>
        </w:rPr>
      </w:pPr>
      <w:r w:rsidDel="00000000" w:rsidR="00000000" w:rsidRPr="00000000">
        <w:rPr>
          <w:rtl w:val="0"/>
        </w:rPr>
      </w:r>
    </w:p>
    <w:tbl>
      <w:tblPr>
        <w:tblStyle w:val="Table7"/>
        <w:tblW w:w="10206.0" w:type="dxa"/>
        <w:jc w:val="left"/>
        <w:tblInd w:w="0.0" w:type="dxa"/>
        <w:tblLayout w:type="fixed"/>
        <w:tblLook w:val="0000"/>
      </w:tblPr>
      <w:tblGrid>
        <w:gridCol w:w="5211"/>
        <w:gridCol w:w="236"/>
        <w:gridCol w:w="4759"/>
        <w:tblGridChange w:id="0">
          <w:tblGrid>
            <w:gridCol w:w="5211"/>
            <w:gridCol w:w="236"/>
            <w:gridCol w:w="4759"/>
          </w:tblGrid>
        </w:tblGridChange>
      </w:tblGrid>
      <w:tr>
        <w:trPr>
          <w:trHeight w:val="389" w:hRule="atLeast"/>
        </w:trPr>
        <w:tc>
          <w:tcPr/>
          <w:p w:rsidR="00000000" w:rsidDel="00000000" w:rsidP="00000000" w:rsidRDefault="00000000" w:rsidRPr="00000000" w14:paraId="0000009D">
            <w:pPr>
              <w:ind w:right="0"/>
              <w:rPr>
                <w:rFonts w:ascii="Arial" w:cs="Arial" w:eastAsia="Arial" w:hAnsi="Arial"/>
                <w:b w:val="1"/>
              </w:rPr>
            </w:pPr>
            <w:r w:rsidDel="00000000" w:rsidR="00000000" w:rsidRPr="00000000">
              <w:rPr>
                <w:rFonts w:ascii="Arial" w:cs="Arial" w:eastAsia="Arial" w:hAnsi="Arial"/>
                <w:b w:val="1"/>
                <w:rtl w:val="0"/>
              </w:rPr>
              <w:t xml:space="preserve"> ЗАКАЗЧИК:</w:t>
            </w:r>
          </w:p>
          <w:p w:rsidR="00000000" w:rsidDel="00000000" w:rsidP="00000000" w:rsidRDefault="00000000" w:rsidRPr="00000000" w14:paraId="0000009E">
            <w:pPr>
              <w:tabs>
                <w:tab w:val="left" w:pos="1134"/>
                <w:tab w:val="left" w:pos="1701"/>
              </w:tabs>
              <w:rPr>
                <w:rFonts w:ascii="Arial" w:cs="Arial" w:eastAsia="Arial" w:hAnsi="Arial"/>
              </w:rPr>
            </w:pPr>
            <w:r w:rsidDel="00000000" w:rsidR="00000000" w:rsidRPr="00000000">
              <w:rPr>
                <w:rtl w:val="0"/>
              </w:rPr>
            </w:r>
          </w:p>
        </w:tc>
        <w:tc>
          <w:tcPr/>
          <w:p w:rsidR="00000000" w:rsidDel="00000000" w:rsidP="00000000" w:rsidRDefault="00000000" w:rsidRPr="00000000" w14:paraId="0000009F">
            <w:pPr>
              <w:pStyle w:val="Heading2"/>
              <w:spacing w:after="0" w:before="0" w:lineRule="auto"/>
              <w:ind w:right="0"/>
              <w:rPr>
                <w:rFonts w:ascii="Arial" w:cs="Arial" w:eastAsia="Arial" w:hAnsi="Arial"/>
                <w:i w:val="0"/>
                <w:sz w:val="20"/>
                <w:szCs w:val="20"/>
              </w:rPr>
            </w:pPr>
            <w:r w:rsidDel="00000000" w:rsidR="00000000" w:rsidRPr="00000000">
              <w:rPr>
                <w:rtl w:val="0"/>
              </w:rPr>
            </w:r>
          </w:p>
        </w:tc>
        <w:tc>
          <w:tcPr/>
          <w:p w:rsidR="00000000" w:rsidDel="00000000" w:rsidP="00000000" w:rsidRDefault="00000000" w:rsidRPr="00000000" w14:paraId="000000A0">
            <w:pPr>
              <w:ind w:right="0"/>
              <w:rPr>
                <w:rFonts w:ascii="Arial" w:cs="Arial" w:eastAsia="Arial" w:hAnsi="Arial"/>
                <w:b w:val="1"/>
              </w:rPr>
            </w:pPr>
            <w:r w:rsidDel="00000000" w:rsidR="00000000" w:rsidRPr="00000000">
              <w:rPr>
                <w:rFonts w:ascii="Arial" w:cs="Arial" w:eastAsia="Arial" w:hAnsi="Arial"/>
                <w:b w:val="1"/>
                <w:rtl w:val="0"/>
              </w:rPr>
              <w:t xml:space="preserve">ИСПОЛНИТЕЛЬ:</w:t>
            </w:r>
          </w:p>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Общество с ограниченной ответственностью «М-Консалтинг»</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Место нахождения 117209, город Москва, Нахимовский проспект, дом 23, корпус 1, оф.81</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Почтовый адрес 117209, город Москва, Нахимовский проспект, дом 23, корпус 1, оф.81 г. Ярославль, Которосльная набережная, д. 22/10</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www.mceconsult.ru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info@mceconsult.ru</w:t>
              </w:r>
            </w:hyperlink>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(4852) 909-111/ 8(916)-807-88-99</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ОГРН 1157746287027</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ИНН 7727096435/КПП 772701001</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ОКВЭД 70.31.2 (основной) – Предоставление посреднических услуг при оценке недвижимого имущества</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Банковские Реквизиты в ОАО «Альфа-банк» г. Ярославль (ул. Свободы, дом 2):</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Р/С  40702810702910000985</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К/С 30101810200000000593</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БИК 044525593</w:t>
            </w:r>
          </w:p>
          <w:p w:rsidR="00000000" w:rsidDel="00000000" w:rsidP="00000000" w:rsidRDefault="00000000" w:rsidRPr="00000000" w14:paraId="000000AD">
            <w:pPr>
              <w:ind w:right="0"/>
              <w:rPr>
                <w:rFonts w:ascii="Arial" w:cs="Arial" w:eastAsia="Arial" w:hAnsi="Arial"/>
              </w:rPr>
            </w:pPr>
            <w:r w:rsidDel="00000000" w:rsidR="00000000" w:rsidRPr="00000000">
              <w:rPr>
                <w:rFonts w:ascii="Arial" w:cs="Arial" w:eastAsia="Arial" w:hAnsi="Arial"/>
                <w:rtl w:val="0"/>
              </w:rPr>
              <w:t xml:space="preserve">ИНН ОАО «Альфа-банк» 7728168971</w:t>
            </w:r>
          </w:p>
          <w:p w:rsidR="00000000" w:rsidDel="00000000" w:rsidP="00000000" w:rsidRDefault="00000000" w:rsidRPr="00000000" w14:paraId="000000AE">
            <w:pPr>
              <w:spacing w:before="240" w:lineRule="auto"/>
              <w:rPr>
                <w:rFonts w:ascii="Arial" w:cs="Arial" w:eastAsia="Arial" w:hAnsi="Arial"/>
              </w:rPr>
            </w:pPr>
            <w:r w:rsidDel="00000000" w:rsidR="00000000" w:rsidRPr="00000000">
              <w:rPr>
                <w:rFonts w:ascii="Arial" w:cs="Arial" w:eastAsia="Arial" w:hAnsi="Arial"/>
                <w:rtl w:val="0"/>
              </w:rPr>
              <w:t xml:space="preserve">________________ К.А. Привезенцев</w:t>
            </w:r>
          </w:p>
        </w:tc>
      </w:tr>
    </w:tbl>
    <w:p w:rsidR="00000000" w:rsidDel="00000000" w:rsidP="00000000" w:rsidRDefault="00000000" w:rsidRPr="00000000" w14:paraId="000000AF">
      <w:pPr>
        <w:tabs>
          <w:tab w:val="left" w:pos="1134"/>
          <w:tab w:val="left" w:pos="1701"/>
        </w:tabs>
        <w:rPr>
          <w:rFonts w:ascii="Arial" w:cs="Arial" w:eastAsia="Arial" w:hAnsi="Arial"/>
          <w:b w:val="1"/>
        </w:rPr>
      </w:pPr>
      <w:r w:rsidDel="00000000" w:rsidR="00000000" w:rsidRPr="00000000">
        <w:rPr>
          <w:rtl w:val="0"/>
        </w:rPr>
      </w:r>
    </w:p>
    <w:p w:rsidR="00000000" w:rsidDel="00000000" w:rsidP="00000000" w:rsidRDefault="00000000" w:rsidRPr="00000000" w14:paraId="000000B0">
      <w:pPr>
        <w:tabs>
          <w:tab w:val="left" w:pos="1134"/>
          <w:tab w:val="left" w:pos="1701"/>
        </w:tabs>
        <w:rPr>
          <w:rFonts w:ascii="Arial" w:cs="Arial" w:eastAsia="Arial" w:hAnsi="Arial"/>
          <w:b w:val="1"/>
          <w:sz w:val="24"/>
          <w:szCs w:val="24"/>
        </w:rPr>
      </w:pPr>
      <w:r w:rsidDel="00000000" w:rsidR="00000000" w:rsidRPr="00000000">
        <w:rPr>
          <w:rtl w:val="0"/>
        </w:rPr>
      </w:r>
    </w:p>
    <w:sectPr>
      <w:headerReference r:id="rId10" w:type="default"/>
      <w:footerReference r:id="rId11" w:type="default"/>
      <w:footerReference r:id="rId12" w:type="even"/>
      <w:pgSz w:h="16838" w:w="11906"/>
      <w:pgMar w:bottom="142" w:top="284" w:left="851" w:right="424" w:header="11" w:footer="6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7513"/>
        <w:tab w:val="right" w:pos="10065"/>
      </w:tabs>
      <w:spacing w:after="0" w:before="0" w:line="240" w:lineRule="auto"/>
      <w:ind w:left="-170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column">
            <wp:posOffset>-1922144</wp:posOffset>
          </wp:positionH>
          <wp:positionV relativeFrom="paragraph">
            <wp:posOffset>-24746</wp:posOffset>
          </wp:positionV>
          <wp:extent cx="8926195" cy="706755"/>
          <wp:effectExtent b="0" l="0" r="0" t="0"/>
          <wp:wrapSquare wrapText="bothSides" distB="0" distT="0" distL="0" distR="0"/>
          <wp:docPr descr="нижний3" id="2" name="image1.jpg"/>
          <a:graphic>
            <a:graphicData uri="http://schemas.openxmlformats.org/drawingml/2006/picture">
              <pic:pic>
                <pic:nvPicPr>
                  <pic:cNvPr descr="нижний3" id="0" name="image1.jpg"/>
                  <pic:cNvPicPr preferRelativeResize="0"/>
                </pic:nvPicPr>
                <pic:blipFill>
                  <a:blip r:embed="rId1"/>
                  <a:srcRect b="15869" l="0" r="0" t="67676"/>
                  <a:stretch>
                    <a:fillRect/>
                  </a:stretch>
                </pic:blipFill>
                <pic:spPr>
                  <a:xfrm>
                    <a:off x="0" y="0"/>
                    <a:ext cx="8926195" cy="706755"/>
                  </a:xfrm>
                  <a:prstGeom prst="rect"/>
                  <a:ln/>
                </pic:spPr>
              </pic:pic>
            </a:graphicData>
          </a:graphic>
        </wp:anchor>
      </w:drawing>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1"/>
        <w:smallCaps w:val="0"/>
        <w:strike w:val="0"/>
        <w:color w:val="000000"/>
        <w:sz w:val="32"/>
        <w:szCs w:val="32"/>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ООО «М-КОНСАЛТИНГ»</w:t>
    </w:r>
    <w:r w:rsidDel="00000000" w:rsidR="00000000" w:rsidRPr="00000000">
      <w:drawing>
        <wp:anchor allowOverlap="1" behindDoc="0" distB="0" distT="0" distL="0" distR="0" hidden="0" layoutInCell="1" locked="0" relativeHeight="0" simplePos="0">
          <wp:simplePos x="0" y="0"/>
          <wp:positionH relativeFrom="column">
            <wp:posOffset>-730249</wp:posOffset>
          </wp:positionH>
          <wp:positionV relativeFrom="paragraph">
            <wp:posOffset>-40004</wp:posOffset>
          </wp:positionV>
          <wp:extent cx="7656830" cy="1351915"/>
          <wp:effectExtent b="0" l="0" r="0" t="0"/>
          <wp:wrapSquare wrapText="bothSides" distB="0" distT="0" distL="0" distR="0"/>
          <wp:docPr descr="верхний2" id="1" name="image2.jpg"/>
          <a:graphic>
            <a:graphicData uri="http://schemas.openxmlformats.org/drawingml/2006/picture">
              <pic:pic>
                <pic:nvPicPr>
                  <pic:cNvPr descr="верхний2" id="0" name="image2.jpg"/>
                  <pic:cNvPicPr preferRelativeResize="0"/>
                </pic:nvPicPr>
                <pic:blipFill>
                  <a:blip r:embed="rId1"/>
                  <a:srcRect b="0" l="0" r="0" t="0"/>
                  <a:stretch>
                    <a:fillRect/>
                  </a:stretch>
                </pic:blipFill>
                <pic:spPr>
                  <a:xfrm>
                    <a:off x="0" y="0"/>
                    <a:ext cx="7656830" cy="1351915"/>
                  </a:xfrm>
                  <a:prstGeom prst="rect"/>
                  <a:ln/>
                </pic:spPr>
              </pic:pic>
            </a:graphicData>
          </a:graphic>
        </wp:anchor>
      </w:drawing>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 Москва, Автозаводская, д. 23А корп.2, оф.310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www.mceconsult.ru, mceconsult@bk.ru</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(499) 390 43-35 / +7 (926) 456 82-46</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37" w:hanging="360"/>
      </w:pPr>
      <w:rPr>
        <w:rFonts w:ascii="Noto Sans Symbols" w:cs="Noto Sans Symbols" w:eastAsia="Noto Sans Symbols" w:hAnsi="Noto Sans Symbols"/>
        <w:color w:val="365f91"/>
      </w:rPr>
    </w:lvl>
    <w:lvl w:ilvl="1">
      <w:start w:val="1"/>
      <w:numFmt w:val="bullet"/>
      <w:lvlText w:val="o"/>
      <w:lvlJc w:val="left"/>
      <w:pPr>
        <w:ind w:left="2857" w:hanging="360"/>
      </w:pPr>
      <w:rPr>
        <w:rFonts w:ascii="Courier New" w:cs="Courier New" w:eastAsia="Courier New" w:hAnsi="Courier New"/>
      </w:rPr>
    </w:lvl>
    <w:lvl w:ilvl="2">
      <w:start w:val="1"/>
      <w:numFmt w:val="bullet"/>
      <w:lvlText w:val="▪"/>
      <w:lvlJc w:val="left"/>
      <w:pPr>
        <w:ind w:left="3577" w:hanging="360"/>
      </w:pPr>
      <w:rPr>
        <w:rFonts w:ascii="Noto Sans Symbols" w:cs="Noto Sans Symbols" w:eastAsia="Noto Sans Symbols" w:hAnsi="Noto Sans Symbols"/>
      </w:rPr>
    </w:lvl>
    <w:lvl w:ilvl="3">
      <w:start w:val="1"/>
      <w:numFmt w:val="bullet"/>
      <w:lvlText w:val="●"/>
      <w:lvlJc w:val="left"/>
      <w:pPr>
        <w:ind w:left="4297" w:hanging="360"/>
      </w:pPr>
      <w:rPr>
        <w:rFonts w:ascii="Noto Sans Symbols" w:cs="Noto Sans Symbols" w:eastAsia="Noto Sans Symbols" w:hAnsi="Noto Sans Symbols"/>
      </w:rPr>
    </w:lvl>
    <w:lvl w:ilvl="4">
      <w:start w:val="1"/>
      <w:numFmt w:val="bullet"/>
      <w:lvlText w:val="o"/>
      <w:lvlJc w:val="left"/>
      <w:pPr>
        <w:ind w:left="5017" w:hanging="360"/>
      </w:pPr>
      <w:rPr>
        <w:rFonts w:ascii="Courier New" w:cs="Courier New" w:eastAsia="Courier New" w:hAnsi="Courier New"/>
      </w:rPr>
    </w:lvl>
    <w:lvl w:ilvl="5">
      <w:start w:val="1"/>
      <w:numFmt w:val="bullet"/>
      <w:lvlText w:val="▪"/>
      <w:lvlJc w:val="left"/>
      <w:pPr>
        <w:ind w:left="5737" w:hanging="360"/>
      </w:pPr>
      <w:rPr>
        <w:rFonts w:ascii="Noto Sans Symbols" w:cs="Noto Sans Symbols" w:eastAsia="Noto Sans Symbols" w:hAnsi="Noto Sans Symbols"/>
      </w:rPr>
    </w:lvl>
    <w:lvl w:ilvl="6">
      <w:start w:val="1"/>
      <w:numFmt w:val="bullet"/>
      <w:lvlText w:val="●"/>
      <w:lvlJc w:val="left"/>
      <w:pPr>
        <w:ind w:left="6457" w:hanging="360"/>
      </w:pPr>
      <w:rPr>
        <w:rFonts w:ascii="Noto Sans Symbols" w:cs="Noto Sans Symbols" w:eastAsia="Noto Sans Symbols" w:hAnsi="Noto Sans Symbols"/>
      </w:rPr>
    </w:lvl>
    <w:lvl w:ilvl="7">
      <w:start w:val="1"/>
      <w:numFmt w:val="bullet"/>
      <w:lvlText w:val="o"/>
      <w:lvlJc w:val="left"/>
      <w:pPr>
        <w:ind w:left="7177" w:hanging="360"/>
      </w:pPr>
      <w:rPr>
        <w:rFonts w:ascii="Courier New" w:cs="Courier New" w:eastAsia="Courier New" w:hAnsi="Courier New"/>
      </w:rPr>
    </w:lvl>
    <w:lvl w:ilvl="8">
      <w:start w:val="1"/>
      <w:numFmt w:val="bullet"/>
      <w:lvlText w:val="▪"/>
      <w:lvlJc w:val="left"/>
      <w:pPr>
        <w:ind w:left="7897" w:hanging="360"/>
      </w:pPr>
      <w:rPr>
        <w:rFonts w:ascii="Noto Sans Symbols" w:cs="Noto Sans Symbols" w:eastAsia="Noto Sans Symbols" w:hAnsi="Noto Sans Symbols"/>
      </w:rPr>
    </w:lvl>
  </w:abstractNum>
  <w:abstractNum w:abstractNumId="3">
    <w:lvl w:ilvl="0">
      <w:start w:val="1"/>
      <w:numFmt w:val="decimal"/>
      <w:lvlText w:val="%1."/>
      <w:lvlJc w:val="left"/>
      <w:pPr>
        <w:ind w:left="450" w:hanging="450"/>
      </w:pPr>
      <w:rPr/>
    </w:lvl>
    <w:lvl w:ilvl="1">
      <w:start w:val="1"/>
      <w:numFmt w:val="decimal"/>
      <w:lvlText w:val="%1.%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info@mceconsult.ru" TargetMode="External"/><Relationship Id="rId5" Type="http://schemas.openxmlformats.org/officeDocument/2006/relationships/styles" Target="styles.xml"/><Relationship Id="rId6" Type="http://schemas.openxmlformats.org/officeDocument/2006/relationships/hyperlink" Target="http://www.mceconsult.ru" TargetMode="External"/><Relationship Id="rId7" Type="http://schemas.openxmlformats.org/officeDocument/2006/relationships/hyperlink" Target="mailto:info@mceconsult.ru" TargetMode="External"/><Relationship Id="rId8" Type="http://schemas.openxmlformats.org/officeDocument/2006/relationships/hyperlink" Target="http://www.mceconsult.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